
<file path=[Content_Types].xml><?xml version="1.0" encoding="utf-8"?>
<Types xmlns="http://schemas.openxmlformats.org/package/2006/content-types">
  <Default ContentType="image/png" Extension="png"/>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tbl>
      <w:tblPr>
        <w:tblStyle w:val="Style_2"/>
        <w:tblW w:type="auto" w:w="0"/>
        <w:tblInd w:type="dxa" w:w="-72"/>
        <w:tblLayout w:type="fixed"/>
      </w:tblPr>
      <w:tblGrid>
        <w:gridCol w:w="2165"/>
        <w:gridCol w:w="7654"/>
      </w:tblGrid>
      <w:tr>
        <w:trPr>
          <w:trHeight w:hRule="atLeast" w:val="1753"/>
        </w:trPr>
        <w:tc>
          <w:tcPr>
            <w:tcW w:type="dxa" w:w="2165"/>
          </w:tcPr>
          <w:p w14:paraId="02000000">
            <w:r>
              <w:drawing>
                <wp:anchor allowOverlap="true" behindDoc="false" distB="0" distL="114300" distR="114300" distT="0" layoutInCell="true" locked="false" relativeHeight="251658240" simplePos="false">
                  <wp:simplePos x="0" y="0"/>
                  <wp:positionH relativeFrom="column">
                    <wp:posOffset>17780</wp:posOffset>
                  </wp:positionH>
                  <wp:positionV relativeFrom="paragraph">
                    <wp:posOffset>34925</wp:posOffset>
                  </wp:positionV>
                  <wp:extent cx="1183005" cy="1321435"/>
                  <wp:effectExtent b="0" l="0" r="0" t="0"/>
                  <wp:wrapThrough distL="114300" distR="114300" wrapText="bothSides">
                    <wp:wrapPolygon>
                      <wp:start x="9739" y="0"/>
                      <wp:lineTo x="2435" y="2491"/>
                      <wp:lineTo x="-348" y="3737"/>
                      <wp:lineTo x="-348" y="10899"/>
                      <wp:lineTo x="4870" y="15881"/>
                      <wp:lineTo x="6261" y="20552"/>
                      <wp:lineTo x="8348" y="21174"/>
                      <wp:lineTo x="9739" y="21174"/>
                      <wp:lineTo x="11826" y="21174"/>
                      <wp:lineTo x="13217" y="21174"/>
                      <wp:lineTo x="15652" y="20240"/>
                      <wp:lineTo x="15652" y="19929"/>
                      <wp:lineTo x="18087" y="14947"/>
                      <wp:lineTo x="21565" y="11521"/>
                      <wp:lineTo x="21565" y="3737"/>
                      <wp:lineTo x="12174" y="0"/>
                      <wp:lineTo x="9739" y="0"/>
                    </wp:wrapPolygon>
                  </wp:wrapThrough>
                  <wp:docPr hidden="false" id="1" name="Picture 1"/>
                  <a:graphic>
                    <a:graphicData uri="http://schemas.openxmlformats.org/drawingml/2006/picture">
                      <pic:pic>
                        <pic:nvPicPr>
                          <pic:cNvPr hidden="false" id="2" name="Picture 2"/>
                          <pic:cNvPicPr preferRelativeResize="true"/>
                        </pic:nvPicPr>
                        <pic:blipFill>
                          <a:blip r:embed="rId2"/>
                          <a:stretch/>
                        </pic:blipFill>
                        <pic:spPr>
                          <a:xfrm flipH="false" flipV="false" rot="0">
                            <a:ext cx="1183005" cy="1321435"/>
                          </a:xfrm>
                          <a:prstGeom prst="rect"/>
                        </pic:spPr>
                      </pic:pic>
                    </a:graphicData>
                  </a:graphic>
                </wp:anchor>
              </w:drawing>
            </w:r>
          </w:p>
        </w:tc>
        <w:tc>
          <w:tcPr>
            <w:tcW w:type="dxa" w:w="7654"/>
          </w:tcPr>
          <w:p w14:paraId="03000000">
            <w:pPr>
              <w:widowControl w:val="1"/>
              <w:spacing w:before="407" w:line="738" w:lineRule="exact"/>
              <w:ind/>
              <w:jc w:val="center"/>
              <w:rPr>
                <w:rFonts w:ascii="Bookman Old Style" w:hAnsi="Bookman Old Style"/>
                <w:b w:val="1"/>
                <w:spacing w:val="-4"/>
                <w:sz w:val="60"/>
              </w:rPr>
            </w:pPr>
            <w:r>
              <w:rPr>
                <w:rFonts w:ascii="Bookman Old Style" w:hAnsi="Bookman Old Style"/>
                <w:b w:val="1"/>
                <w:spacing w:val="-4"/>
                <w:sz w:val="60"/>
              </w:rP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4294967295" distL="114300" distR="114300" distT="4294967295" layoutInCell="true" locked="false" relativeHeight="251658240" simplePos="false">
                      <wp:simplePos x="0" y="0"/>
                      <wp:positionH relativeFrom="column">
                        <wp:posOffset>0</wp:posOffset>
                      </wp:positionH>
                      <wp:positionV relativeFrom="paragraph">
                        <wp:posOffset>138429</wp:posOffset>
                      </wp:positionV>
                      <wp:extent cx="4806315" cy="0"/>
                      <wp:wrapNone/>
                      <wp:docPr hidden="false" id="3" name="Picture 3"/>
                      <a:graphic>
                        <a:graphicData uri="http://schemas.microsoft.com/office/word/2010/wordprocessingShape">
                          <wps:wsp>
                            <wps:cNvSpPr txBox="false"/>
                            <wps:spPr>
                              <a:xfrm flipH="false" flipV="false" rot="0">
                                <a:off x="0" y="0"/>
                                <a:ext cx="4806315" cy="0"/>
                              </a:xfrm>
                              <a:prstGeom prst="line">
                                <a:avLst/>
                              </a:prstGeom>
                              <a:noFill/>
                              <a:ln w="19050">
                                <a:solidFill>
                                  <a:srgbClr val="000000"/>
                                </a:solidFill>
                                <a:prstDash val="solid"/>
                                <a:headEnd len="med" type="none" w="med"/>
                                <a:tailEnd len="med" type="none" w="med"/>
                              </a:ln>
                            </wps:spPr>
                            <wps:bodyPr bIns="45720" lIns="91440" rIns="91440" tIns="45720"/>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r>
              <w:rPr>
                <w:rFonts w:ascii="Bookman Old Style" w:hAnsi="Bookman Old Style"/>
                <w:b w:val="1"/>
                <w:spacing w:val="-4"/>
                <w:sz w:val="60"/>
              </w:rPr>
              <w:t>П Р О К У Р А Т У Р А</w:t>
            </w:r>
          </w:p>
          <w:p w14:paraId="04000000">
            <w:pPr>
              <w:widowControl w:val="1"/>
              <w:spacing w:before="90"/>
              <w:ind w:right="-91"/>
              <w:jc w:val="center"/>
              <w:rPr>
                <w:rFonts w:ascii="Bookman Old Style" w:hAnsi="Bookman Old Style"/>
                <w:b w:val="1"/>
                <w:spacing w:val="8"/>
                <w:sz w:val="28"/>
              </w:rPr>
            </w:pPr>
            <w:r>
              <w:rPr>
                <w:rFonts w:ascii="Bookman Old Style" w:hAnsi="Bookman Old Style"/>
                <w:b w:val="1"/>
                <w:spacing w:val="8"/>
                <w:sz w:val="28"/>
              </w:rPr>
              <w:t>прокуратура Октябрьского района</w:t>
            </w:r>
          </w:p>
          <w:p w14:paraId="05000000">
            <w:pPr>
              <w:rPr>
                <w:rFonts w:ascii="Arial Black" w:hAnsi="Arial Black"/>
                <w:b w:val="1"/>
                <w:sz w:val="32"/>
              </w:rPr>
            </w:pPr>
            <w:r>
              <w:rPr>
                <w:rFonts w:ascii="Arial Black" w:hAnsi="Arial Black"/>
                <w:b w:val="1"/>
                <w:spacing w:val="8"/>
              </w:rP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4294967295" distL="114300" distR="114300" distT="4294967295" layoutInCell="true" locked="false" relativeHeight="251658240" simplePos="false">
                      <wp:simplePos x="0" y="0"/>
                      <wp:positionH relativeFrom="column">
                        <wp:posOffset>0</wp:posOffset>
                      </wp:positionH>
                      <wp:positionV relativeFrom="paragraph">
                        <wp:posOffset>60958</wp:posOffset>
                      </wp:positionV>
                      <wp:extent cx="4806315" cy="0"/>
                      <wp:wrapNone/>
                      <wp:docPr hidden="false" id="4" name="Picture 4"/>
                      <a:graphic>
                        <a:graphicData uri="http://schemas.microsoft.com/office/word/2010/wordprocessingShape">
                          <wps:wsp>
                            <wps:cNvSpPr txBox="false"/>
                            <wps:spPr>
                              <a:xfrm flipH="false" flipV="false" rot="0">
                                <a:off x="0" y="0"/>
                                <a:ext cx="4806315" cy="0"/>
                              </a:xfrm>
                              <a:prstGeom prst="line">
                                <a:avLst/>
                              </a:prstGeom>
                              <a:noFill/>
                              <a:ln w="57150">
                                <a:solidFill>
                                  <a:srgbClr val="000000"/>
                                </a:solidFill>
                                <a:prstDash val="solid"/>
                                <a:headEnd len="med" type="none" w="med"/>
                                <a:tailEnd len="med" type="none" w="med"/>
                              </a:ln>
                            </wps:spPr>
                            <wps:bodyPr bIns="45720" lIns="91440" rIns="91440" tIns="45720"/>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tc>
      </w:tr>
    </w:tbl>
    <w:p w14:paraId="06000000">
      <w:pPr>
        <w:widowControl w:val="1"/>
        <w:spacing w:after="0" w:line="240" w:lineRule="auto"/>
        <w:ind/>
        <w:jc w:val="center"/>
        <w:rPr>
          <w:rFonts w:ascii="Times New Roman" w:hAnsi="Times New Roman"/>
          <w:b w:val="1"/>
          <w:sz w:val="28"/>
        </w:rPr>
      </w:pPr>
    </w:p>
    <w:p w14:paraId="07000000">
      <w:pPr>
        <w:widowControl w:val="1"/>
        <w:spacing w:after="0" w:line="240" w:lineRule="auto"/>
        <w:ind/>
        <w:jc w:val="center"/>
        <w:rPr>
          <w:rFonts w:ascii="Times New Roman" w:hAnsi="Times New Roman"/>
          <w:b w:val="1"/>
          <w:sz w:val="28"/>
        </w:rPr>
      </w:pPr>
      <w:r>
        <w:rPr>
          <w:rFonts w:ascii="Times New Roman" w:hAnsi="Times New Roman"/>
          <w:b w:val="1"/>
          <w:sz w:val="28"/>
        </w:rPr>
        <w:t>Подписан закон, уточняющий особенности размещения и использования нестационарных торговых объект</w:t>
      </w:r>
      <w:r>
        <w:rPr>
          <w:rFonts w:ascii="Times New Roman" w:hAnsi="Times New Roman"/>
          <w:b w:val="1"/>
          <w:sz w:val="28"/>
        </w:rPr>
        <w:t>ов</w:t>
      </w:r>
    </w:p>
    <w:p w14:paraId="08000000">
      <w:pPr>
        <w:widowControl w:val="1"/>
        <w:spacing w:after="0" w:line="240" w:lineRule="auto"/>
        <w:ind/>
        <w:jc w:val="center"/>
        <w:rPr>
          <w:rFonts w:ascii="Times New Roman" w:hAnsi="Times New Roman"/>
          <w:b w:val="1"/>
          <w:sz w:val="28"/>
        </w:rPr>
      </w:pPr>
    </w:p>
    <w:p w14:paraId="09000000">
      <w:pPr>
        <w:widowControl w:val="1"/>
        <w:spacing w:after="0" w:line="240" w:lineRule="auto"/>
        <w:ind w:firstLine="709"/>
        <w:jc w:val="both"/>
        <w:rPr>
          <w:rFonts w:ascii="Times New Roman" w:hAnsi="Times New Roman"/>
          <w:b w:val="0"/>
          <w:sz w:val="28"/>
        </w:rPr>
      </w:pPr>
      <w:r>
        <w:rPr>
          <w:rFonts w:ascii="Times New Roman" w:hAnsi="Times New Roman"/>
          <w:b w:val="0"/>
          <w:sz w:val="28"/>
        </w:rPr>
        <w:t>Внесены поправки в Федеральный закон от</w:t>
      </w:r>
      <w:r>
        <w:rPr>
          <w:rFonts w:ascii="Times New Roman" w:hAnsi="Times New Roman"/>
          <w:b w:val="0"/>
          <w:sz w:val="28"/>
        </w:rPr>
        <w:t xml:space="preserve"> 28 декабря 2009 года </w:t>
      </w:r>
      <w:r>
        <w:rPr>
          <w:rFonts w:ascii="Times New Roman" w:hAnsi="Times New Roman"/>
          <w:b w:val="0"/>
          <w:sz w:val="28"/>
        </w:rPr>
        <w:br/>
      </w:r>
      <w:r>
        <w:rPr>
          <w:rFonts w:ascii="Times New Roman" w:hAnsi="Times New Roman"/>
          <w:b w:val="0"/>
          <w:sz w:val="28"/>
        </w:rPr>
        <w:t>№ 381-ФЗ «</w:t>
      </w:r>
      <w:r>
        <w:rPr>
          <w:rFonts w:ascii="Times New Roman" w:hAnsi="Times New Roman"/>
          <w:b w:val="0"/>
          <w:sz w:val="28"/>
        </w:rPr>
        <w:t>Об основах государственного регулирования торговой деяте</w:t>
      </w:r>
      <w:r>
        <w:rPr>
          <w:rFonts w:ascii="Times New Roman" w:hAnsi="Times New Roman"/>
          <w:b w:val="0"/>
          <w:sz w:val="28"/>
        </w:rPr>
        <w:t>льности в Российской Федерации»</w:t>
      </w:r>
    </w:p>
    <w:p w14:paraId="0A000000">
      <w:pPr>
        <w:widowControl w:val="1"/>
        <w:spacing w:after="0" w:line="240" w:lineRule="auto"/>
        <w:ind w:firstLine="709"/>
        <w:jc w:val="both"/>
        <w:rPr>
          <w:rFonts w:ascii="Times New Roman" w:hAnsi="Times New Roman"/>
          <w:sz w:val="28"/>
        </w:rPr>
      </w:pPr>
      <w:r>
        <w:rPr>
          <w:rFonts w:ascii="Times New Roman" w:hAnsi="Times New Roman"/>
          <w:sz w:val="28"/>
        </w:rPr>
        <w:t>Уточняется понятийный аппарат, в правовое регулирование вводится термин «мобильный торговый объект» - нестационарный торговый объект, представляющий собой транспортное средство, включая механическое транспортное средство или транспортное средство, предназначенное для движения в составе с механическим транспортным средством (в том числе автолавка, автомагазин, автоприцеп, автоцистерна). Схемой размещения нестационарных торговых объектов может предусматриваться более одного места размещения мобильного торгового объекта, при этом должен быть установлен период времени размещения мобильного торгового объекта в конкретном месте. Запрещается одновременное размещение нескольких мобильных торговых объектов в одном месте.</w:t>
      </w:r>
    </w:p>
    <w:p w14:paraId="0B000000">
      <w:pPr>
        <w:widowControl w:val="1"/>
        <w:spacing w:after="0" w:line="240" w:lineRule="auto"/>
        <w:ind w:firstLine="709"/>
        <w:jc w:val="both"/>
        <w:rPr>
          <w:rFonts w:ascii="Times New Roman" w:hAnsi="Times New Roman"/>
          <w:sz w:val="28"/>
        </w:rPr>
      </w:pPr>
      <w:r>
        <w:rPr>
          <w:rFonts w:ascii="Times New Roman" w:hAnsi="Times New Roman"/>
          <w:sz w:val="28"/>
        </w:rPr>
        <w:t>Поправками закрепляется, что нормативными правовыми актами субъектов РФ могут быть предусмотрены особенности использования мобильных торговых объектов, однако не допускается установление требований к самим транспортным средствам.</w:t>
      </w:r>
    </w:p>
    <w:p w14:paraId="0C000000">
      <w:pPr>
        <w:widowControl w:val="1"/>
        <w:spacing w:after="0" w:line="240" w:lineRule="auto"/>
        <w:ind w:firstLine="709"/>
        <w:jc w:val="both"/>
        <w:rPr>
          <w:rFonts w:ascii="Times New Roman" w:hAnsi="Times New Roman"/>
          <w:sz w:val="28"/>
        </w:rPr>
      </w:pPr>
      <w:r>
        <w:rPr>
          <w:rFonts w:ascii="Times New Roman" w:hAnsi="Times New Roman"/>
          <w:sz w:val="28"/>
        </w:rPr>
        <w:t xml:space="preserve">Кроме того, региональные власти получили право устанавливать требование о включении нестационарных торговых объектов (далее - НТО), размещенных на земельных участках, находящихся в частной собственности, в схему размещения нестационарных торговых объектов. В указанном случае осуществление торговой деятельности в таком НТО будет возможно лишь при условии его включения </w:t>
      </w:r>
      <w:r>
        <w:rPr>
          <w:rFonts w:ascii="Times New Roman" w:hAnsi="Times New Roman"/>
          <w:sz w:val="28"/>
        </w:rPr>
        <w:t>в схему размещения нестационарных торговых объектов.</w:t>
      </w:r>
    </w:p>
    <w:p w14:paraId="0D000000">
      <w:pPr>
        <w:widowControl w:val="1"/>
        <w:spacing w:after="0" w:line="240" w:lineRule="auto"/>
        <w:ind w:firstLine="709"/>
        <w:jc w:val="both"/>
        <w:rPr>
          <w:rFonts w:ascii="Times New Roman" w:hAnsi="Times New Roman"/>
          <w:sz w:val="28"/>
        </w:rPr>
      </w:pPr>
      <w:r>
        <w:rPr>
          <w:rFonts w:ascii="Times New Roman" w:hAnsi="Times New Roman"/>
          <w:sz w:val="28"/>
        </w:rPr>
        <w:t>Подать заявление на включение нестационарных торговых объектов, размещенных на частных землях, в схему размещения смогут юридические лица, индивидуальные предприниматели, а также физические лица, применяющие специальный налоговый режим «Налог на профессиональный доход» (в течение срока проведения соответствующего эксперимента), которые намереваются использовать нестационарные торговые объекты для осуществления торговой деятельности.</w:t>
      </w:r>
    </w:p>
    <w:p w14:paraId="0E000000">
      <w:pPr>
        <w:widowControl w:val="1"/>
        <w:spacing w:after="0" w:line="240" w:lineRule="auto"/>
        <w:ind w:firstLine="709"/>
        <w:jc w:val="both"/>
        <w:rPr>
          <w:rFonts w:ascii="Times New Roman" w:hAnsi="Times New Roman"/>
          <w:sz w:val="28"/>
        </w:rPr>
      </w:pPr>
      <w:r>
        <w:rPr>
          <w:rFonts w:ascii="Times New Roman" w:hAnsi="Times New Roman"/>
          <w:sz w:val="28"/>
        </w:rPr>
        <w:t xml:space="preserve">Предусмотрено, что нововведения не распространяются на НТО, размещаемые крестьянскими (фермерскими) хозяйствами, а также сельскохозяйственными потребительскими кооперативами. </w:t>
      </w:r>
      <w:r>
        <w:rPr>
          <w:rFonts w:ascii="Times New Roman" w:hAnsi="Times New Roman"/>
          <w:sz w:val="28"/>
        </w:rPr>
        <w:t xml:space="preserve">Федеральный закон вступает в силу с 1 сентября 2026 года. При установлении субъектом РФ требования о включении НТО, расположенных на частных землях, </w:t>
      </w:r>
      <w:r>
        <w:rPr>
          <w:rFonts w:ascii="Times New Roman" w:hAnsi="Times New Roman"/>
          <w:sz w:val="28"/>
        </w:rPr>
        <w:br/>
      </w:r>
      <w:r>
        <w:rPr>
          <w:rFonts w:ascii="Times New Roman" w:hAnsi="Times New Roman"/>
          <w:sz w:val="28"/>
        </w:rPr>
        <w:t>в схему размещения уже действующий бизнес сможет осуществлять торговую деятельность в НТО в течение трех последующих месяцев без в</w:t>
      </w:r>
      <w:r>
        <w:rPr>
          <w:rFonts w:ascii="Times New Roman" w:hAnsi="Times New Roman"/>
          <w:sz w:val="28"/>
        </w:rPr>
        <w:t xml:space="preserve">ключения НТО </w:t>
      </w:r>
      <w:r>
        <w:rPr>
          <w:rFonts w:ascii="Times New Roman" w:hAnsi="Times New Roman"/>
          <w:sz w:val="28"/>
        </w:rPr>
        <w:br/>
      </w:r>
      <w:r>
        <w:rPr>
          <w:rFonts w:ascii="Times New Roman" w:hAnsi="Times New Roman"/>
          <w:sz w:val="28"/>
        </w:rPr>
        <w:t>в схему размещения</w:t>
      </w:r>
      <w:r>
        <w:rPr>
          <w:rFonts w:ascii="Times New Roman" w:hAnsi="Times New Roman"/>
          <w:sz w:val="28"/>
        </w:rPr>
        <w:t>.</w:t>
      </w:r>
    </w:p>
    <w:tbl>
      <w:tblPr>
        <w:tblStyle w:val="Style_3"/>
        <w:tblpPr w:bottomFromText="0" w:horzAnchor="text" w:leftFromText="181" w:rightFromText="181" w:tblpXSpec="left" w:tblpY="1" w:topFromText="0" w:vertAnchor="text"/>
        <w:tblW w:type="auto" w:w="0"/>
        <w:tblBorders>
          <w:top w:color="000000" w:val="nil"/>
          <w:left w:color="000000" w:val="nil"/>
          <w:bottom w:color="000000" w:val="nil"/>
          <w:right w:color="000000" w:val="nil"/>
          <w:insideH w:color="000000" w:val="nil"/>
          <w:insideV w:color="000000" w:val="nil"/>
        </w:tblBorders>
        <w:tblLayout w:type="fixed"/>
      </w:tblPr>
      <w:tblGrid>
        <w:gridCol w:w="9624"/>
      </w:tblGrid>
      <w:tr>
        <w:trPr>
          <w:trHeight w:hRule="atLeast" w:val="66"/>
        </w:trPr>
        <w:tc>
          <w:tcPr>
            <w:tcW w:type="dxa" w:w="9624"/>
            <w:tcBorders>
              <w:top w:color="000000" w:val="nil"/>
              <w:left w:color="000000" w:val="nil"/>
              <w:bottom w:color="000000" w:val="nil"/>
              <w:right w:color="000000" w:val="nil"/>
            </w:tcBorders>
            <w:tcMar>
              <w:left w:type="dxa" w:w="0"/>
              <w:right w:type="dxa" w:w="0"/>
            </w:tcMar>
            <w:vAlign w:val="bottom"/>
          </w:tcPr>
          <w:p w14:paraId="0F000000">
            <w:pPr>
              <w:widowControl w:val="1"/>
              <w:spacing w:line="240" w:lineRule="exact"/>
              <w:ind/>
              <w:jc w:val="both"/>
              <w:rPr>
                <w:rFonts w:ascii="Times New Roman" w:hAnsi="Times New Roman"/>
                <w:sz w:val="28"/>
              </w:rPr>
            </w:pPr>
          </w:p>
          <w:p w14:paraId="10000000">
            <w:pPr>
              <w:widowControl w:val="1"/>
              <w:spacing w:line="240" w:lineRule="exact"/>
              <w:ind/>
              <w:jc w:val="both"/>
              <w:rPr>
                <w:rFonts w:ascii="Times New Roman" w:hAnsi="Times New Roman"/>
                <w:sz w:val="28"/>
              </w:rPr>
            </w:pPr>
          </w:p>
          <w:p w14:paraId="11000000">
            <w:pPr>
              <w:widowControl w:val="1"/>
              <w:spacing w:line="240" w:lineRule="exact"/>
              <w:ind/>
              <w:jc w:val="both"/>
              <w:rPr>
                <w:rFonts w:ascii="Times New Roman" w:hAnsi="Times New Roman"/>
                <w:sz w:val="28"/>
              </w:rPr>
            </w:pPr>
            <w:r>
              <w:rPr>
                <w:rFonts w:ascii="Times New Roman" w:hAnsi="Times New Roman"/>
                <w:sz w:val="28"/>
              </w:rPr>
              <w:t>П</w:t>
            </w:r>
            <w:r>
              <w:rPr>
                <w:rFonts w:ascii="Times New Roman" w:hAnsi="Times New Roman"/>
                <w:sz w:val="28"/>
              </w:rPr>
              <w:t>рокурор Октябрьского района</w:t>
            </w:r>
          </w:p>
          <w:p w14:paraId="12000000">
            <w:pPr>
              <w:widowControl w:val="1"/>
              <w:spacing w:line="240" w:lineRule="exact"/>
              <w:ind/>
              <w:jc w:val="both"/>
              <w:rPr>
                <w:rFonts w:ascii="Times New Roman" w:hAnsi="Times New Roman"/>
                <w:sz w:val="28"/>
              </w:rPr>
            </w:pPr>
          </w:p>
          <w:p w14:paraId="13000000">
            <w:pPr>
              <w:widowControl w:val="1"/>
              <w:spacing w:line="240" w:lineRule="exact"/>
              <w:ind/>
              <w:jc w:val="both"/>
              <w:rPr>
                <w:rFonts w:ascii="Times New Roman" w:hAnsi="Times New Roman"/>
                <w:sz w:val="28"/>
              </w:rPr>
            </w:pPr>
            <w:r>
              <w:rPr>
                <w:rFonts w:ascii="Times New Roman" w:hAnsi="Times New Roman"/>
                <w:sz w:val="28"/>
              </w:rPr>
              <w:t xml:space="preserve">младший </w:t>
            </w:r>
            <w:r>
              <w:rPr>
                <w:rFonts w:ascii="Times New Roman" w:hAnsi="Times New Roman"/>
                <w:sz w:val="28"/>
              </w:rPr>
              <w:t>советник юстиции</w:t>
            </w:r>
            <w:r>
              <w:rPr>
                <w:rFonts w:ascii="Times New Roman" w:hAnsi="Times New Roman"/>
                <w:sz w:val="28"/>
              </w:rPr>
              <w:t xml:space="preserve">                                                         </w:t>
            </w:r>
            <w:r>
              <w:rPr>
                <w:rFonts w:ascii="Times New Roman" w:hAnsi="Times New Roman"/>
                <w:sz w:val="28"/>
              </w:rPr>
              <w:t xml:space="preserve">     </w:t>
            </w:r>
            <w:r>
              <w:rPr>
                <w:rFonts w:ascii="Times New Roman" w:hAnsi="Times New Roman"/>
                <w:sz w:val="28"/>
              </w:rPr>
              <w:t xml:space="preserve"> </w:t>
            </w:r>
            <w:r>
              <w:rPr>
                <w:rFonts w:ascii="Times New Roman" w:hAnsi="Times New Roman"/>
                <w:sz w:val="28"/>
              </w:rPr>
              <w:t xml:space="preserve"> </w:t>
            </w:r>
            <w:r>
              <w:rPr>
                <w:rFonts w:ascii="Times New Roman" w:hAnsi="Times New Roman"/>
                <w:sz w:val="28"/>
              </w:rPr>
              <w:t xml:space="preserve">    А.С. </w:t>
            </w:r>
            <w:r>
              <w:rPr>
                <w:rFonts w:ascii="Times New Roman" w:hAnsi="Times New Roman"/>
                <w:sz w:val="28"/>
              </w:rPr>
              <w:t>Переладов</w:t>
            </w:r>
            <w:r>
              <w:rPr>
                <w:rFonts w:ascii="Times New Roman" w:hAnsi="Times New Roman"/>
                <w:sz w:val="28"/>
              </w:rPr>
              <w:t xml:space="preserve"> </w:t>
            </w:r>
          </w:p>
          <w:p w14:paraId="14000000">
            <w:pPr>
              <w:widowControl w:val="1"/>
              <w:spacing w:line="240" w:lineRule="exact"/>
              <w:ind/>
              <w:jc w:val="both"/>
              <w:rPr>
                <w:rFonts w:ascii="Times New Roman" w:hAnsi="Times New Roman"/>
                <w:sz w:val="28"/>
              </w:rPr>
            </w:pPr>
          </w:p>
        </w:tc>
      </w:tr>
    </w:tbl>
    <w:p w14:paraId="15000000">
      <w:pPr>
        <w:widowControl w:val="1"/>
        <w:tabs>
          <w:tab w:leader="none" w:pos="2268" w:val="left"/>
          <w:tab w:leader="none" w:pos="6804" w:val="left"/>
        </w:tabs>
        <w:spacing w:after="0" w:line="240" w:lineRule="auto"/>
        <w:ind/>
        <w:rPr>
          <w:rFonts w:ascii="Times New Roman" w:hAnsi="Times New Roman"/>
          <w:sz w:val="20"/>
        </w:rPr>
      </w:pPr>
    </w:p>
    <w:sectPr>
      <w:footerReference r:id="rId1" w:type="first"/>
      <w:pgSz w:h="16838" w:orient="portrait" w:w="11906"/>
      <w:pgMar w:bottom="1276" w:footer="709" w:gutter="0" w:header="709" w:left="1701" w:right="567"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1"/>
      <w:spacing w:after="60"/>
      <w:ind/>
    </w:pPr>
  </w:p>
</w:ft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160" w:before="0" w:line="259"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4" w:type="paragraph">
    <w:name w:val="Normal"/>
    <w:link w:val="Style_4_ch"/>
    <w:uiPriority w:val="0"/>
    <w:qFormat/>
  </w:style>
  <w:style w:default="1" w:styleId="Style_4_ch" w:type="character">
    <w:name w:val="Normal"/>
    <w:link w:val="Style_4"/>
  </w:style>
  <w:style w:styleId="Style_5" w:type="paragraph">
    <w:name w:val="toc 2"/>
    <w:next w:val="Style_4"/>
    <w:link w:val="Style_5_ch"/>
    <w:uiPriority w:val="39"/>
    <w:pPr>
      <w:ind w:firstLine="0" w:left="200"/>
      <w:jc w:val="left"/>
    </w:pPr>
    <w:rPr>
      <w:rFonts w:ascii="XO Thames" w:hAnsi="XO Thames"/>
      <w:sz w:val="28"/>
    </w:rPr>
  </w:style>
  <w:style w:styleId="Style_5_ch" w:type="character">
    <w:name w:val="toc 2"/>
    <w:link w:val="Style_5"/>
    <w:rPr>
      <w:rFonts w:ascii="XO Thames" w:hAnsi="XO Thames"/>
      <w:sz w:val="28"/>
    </w:rPr>
  </w:style>
  <w:style w:styleId="Style_6" w:type="paragraph">
    <w:name w:val="toc 4"/>
    <w:next w:val="Style_4"/>
    <w:link w:val="Style_6_ch"/>
    <w:uiPriority w:val="39"/>
    <w:pPr>
      <w:ind w:firstLine="0" w:left="600"/>
      <w:jc w:val="left"/>
    </w:pPr>
    <w:rPr>
      <w:rFonts w:ascii="XO Thames" w:hAnsi="XO Thames"/>
      <w:sz w:val="28"/>
    </w:rPr>
  </w:style>
  <w:style w:styleId="Style_6_ch" w:type="character">
    <w:name w:val="toc 4"/>
    <w:link w:val="Style_6"/>
    <w:rPr>
      <w:rFonts w:ascii="XO Thames" w:hAnsi="XO Thames"/>
      <w:sz w:val="28"/>
    </w:rPr>
  </w:style>
  <w:style w:styleId="Style_7" w:type="paragraph">
    <w:name w:val="toc 6"/>
    <w:next w:val="Style_4"/>
    <w:link w:val="Style_7_ch"/>
    <w:uiPriority w:val="39"/>
    <w:pPr>
      <w:ind w:firstLine="0" w:left="1000"/>
      <w:jc w:val="left"/>
    </w:pPr>
    <w:rPr>
      <w:rFonts w:ascii="XO Thames" w:hAnsi="XO Thames"/>
      <w:sz w:val="28"/>
    </w:rPr>
  </w:style>
  <w:style w:styleId="Style_7_ch" w:type="character">
    <w:name w:val="toc 6"/>
    <w:link w:val="Style_7"/>
    <w:rPr>
      <w:rFonts w:ascii="XO Thames" w:hAnsi="XO Thames"/>
      <w:sz w:val="28"/>
    </w:rPr>
  </w:style>
  <w:style w:styleId="Style_8" w:type="paragraph">
    <w:name w:val="toc 7"/>
    <w:next w:val="Style_4"/>
    <w:link w:val="Style_8_ch"/>
    <w:uiPriority w:val="39"/>
    <w:pPr>
      <w:ind w:firstLine="0" w:left="1200"/>
      <w:jc w:val="left"/>
    </w:pPr>
    <w:rPr>
      <w:rFonts w:ascii="XO Thames" w:hAnsi="XO Thames"/>
      <w:sz w:val="28"/>
    </w:rPr>
  </w:style>
  <w:style w:styleId="Style_8_ch" w:type="character">
    <w:name w:val="toc 7"/>
    <w:link w:val="Style_8"/>
    <w:rPr>
      <w:rFonts w:ascii="XO Thames" w:hAnsi="XO Thames"/>
      <w:sz w:val="28"/>
    </w:rPr>
  </w:style>
  <w:style w:styleId="Style_9" w:type="paragraph">
    <w:name w:val="Endnote"/>
    <w:link w:val="Style_9_ch"/>
    <w:pPr>
      <w:ind w:firstLine="851" w:left="0"/>
      <w:jc w:val="both"/>
    </w:pPr>
    <w:rPr>
      <w:rFonts w:ascii="XO Thames" w:hAnsi="XO Thames"/>
      <w:sz w:val="22"/>
    </w:rPr>
  </w:style>
  <w:style w:styleId="Style_9_ch" w:type="character">
    <w:name w:val="Endnote"/>
    <w:link w:val="Style_9"/>
    <w:rPr>
      <w:rFonts w:ascii="XO Thames" w:hAnsi="XO Thames"/>
      <w:sz w:val="22"/>
    </w:rPr>
  </w:style>
  <w:style w:styleId="Style_10" w:type="paragraph">
    <w:name w:val="heading 3"/>
    <w:next w:val="Style_4"/>
    <w:link w:val="Style_10_ch"/>
    <w:uiPriority w:val="9"/>
    <w:qFormat/>
    <w:pPr>
      <w:spacing w:after="120" w:before="120"/>
      <w:ind/>
      <w:jc w:val="both"/>
      <w:outlineLvl w:val="2"/>
    </w:pPr>
    <w:rPr>
      <w:rFonts w:ascii="XO Thames" w:hAnsi="XO Thames"/>
      <w:b w:val="1"/>
      <w:sz w:val="26"/>
    </w:rPr>
  </w:style>
  <w:style w:styleId="Style_10_ch" w:type="character">
    <w:name w:val="heading 3"/>
    <w:link w:val="Style_10"/>
    <w:rPr>
      <w:rFonts w:ascii="XO Thames" w:hAnsi="XO Thames"/>
      <w:b w:val="1"/>
      <w:sz w:val="26"/>
    </w:rPr>
  </w:style>
  <w:style w:styleId="Style_11" w:type="paragraph">
    <w:name w:val="toc 3"/>
    <w:next w:val="Style_4"/>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heading 5"/>
    <w:next w:val="Style_4"/>
    <w:link w:val="Style_12_ch"/>
    <w:uiPriority w:val="9"/>
    <w:qFormat/>
    <w:pPr>
      <w:spacing w:after="120" w:before="120"/>
      <w:ind/>
      <w:jc w:val="both"/>
      <w:outlineLvl w:val="4"/>
    </w:pPr>
    <w:rPr>
      <w:rFonts w:ascii="XO Thames" w:hAnsi="XO Thames"/>
      <w:b w:val="1"/>
      <w:sz w:val="22"/>
    </w:rPr>
  </w:style>
  <w:style w:styleId="Style_12_ch" w:type="character">
    <w:name w:val="heading 5"/>
    <w:link w:val="Style_12"/>
    <w:rPr>
      <w:rFonts w:ascii="XO Thames" w:hAnsi="XO Thames"/>
      <w:b w:val="1"/>
      <w:sz w:val="22"/>
    </w:rPr>
  </w:style>
  <w:style w:styleId="Style_13" w:type="paragraph">
    <w:name w:val="heading 1"/>
    <w:next w:val="Style_4"/>
    <w:link w:val="Style_13_ch"/>
    <w:uiPriority w:val="9"/>
    <w:qFormat/>
    <w:pPr>
      <w:spacing w:after="120" w:before="120"/>
      <w:ind/>
      <w:jc w:val="both"/>
      <w:outlineLvl w:val="0"/>
    </w:pPr>
    <w:rPr>
      <w:rFonts w:ascii="XO Thames" w:hAnsi="XO Thames"/>
      <w:b w:val="1"/>
      <w:sz w:val="32"/>
    </w:rPr>
  </w:style>
  <w:style w:styleId="Style_13_ch" w:type="character">
    <w:name w:val="heading 1"/>
    <w:link w:val="Style_13"/>
    <w:rPr>
      <w:rFonts w:ascii="XO Thames" w:hAnsi="XO Thames"/>
      <w:b w:val="1"/>
      <w:sz w:val="32"/>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4"/>
    <w:link w:val="Style_16_ch"/>
    <w:uiPriority w:val="39"/>
    <w:pPr>
      <w:ind w:firstLine="0" w:left="0"/>
      <w:jc w:val="left"/>
    </w:pPr>
    <w:rPr>
      <w:rFonts w:ascii="XO Thames" w:hAnsi="XO Thames"/>
      <w:b w:val="1"/>
      <w:sz w:val="28"/>
    </w:rPr>
  </w:style>
  <w:style w:styleId="Style_16_ch" w:type="character">
    <w:name w:val="toc 1"/>
    <w:link w:val="Style_16"/>
    <w:rPr>
      <w:rFonts w:ascii="XO Thames" w:hAnsi="XO Thames"/>
      <w:b w:val="1"/>
      <w:sz w:val="28"/>
    </w:rPr>
  </w:style>
  <w:style w:styleId="Style_17" w:type="paragraph">
    <w:name w:val="Header and Footer"/>
    <w:link w:val="Style_17_ch"/>
    <w:pPr>
      <w:spacing w:line="240" w:lineRule="auto"/>
      <w:ind/>
      <w:jc w:val="both"/>
    </w:pPr>
    <w:rPr>
      <w:rFonts w:ascii="XO Thames" w:hAnsi="XO Thames"/>
      <w:sz w:val="28"/>
    </w:rPr>
  </w:style>
  <w:style w:styleId="Style_17_ch" w:type="character">
    <w:name w:val="Header and Footer"/>
    <w:link w:val="Style_17"/>
    <w:rPr>
      <w:rFonts w:ascii="XO Thames" w:hAnsi="XO Thames"/>
      <w:sz w:val="28"/>
    </w:rPr>
  </w:style>
  <w:style w:styleId="Style_18" w:type="paragraph">
    <w:name w:val="Default Paragraph Font"/>
    <w:link w:val="Style_18_ch"/>
  </w:style>
  <w:style w:styleId="Style_18_ch" w:type="character">
    <w:name w:val="Default Paragraph Font"/>
    <w:link w:val="Style_18"/>
  </w:style>
  <w:style w:styleId="Style_19" w:type="paragraph">
    <w:name w:val="header"/>
    <w:basedOn w:val="Style_4"/>
    <w:link w:val="Style_19_ch"/>
    <w:pPr>
      <w:widowControl w:val="1"/>
      <w:tabs>
        <w:tab w:leader="none" w:pos="4677" w:val="center"/>
        <w:tab w:leader="none" w:pos="9355" w:val="right"/>
      </w:tabs>
      <w:spacing w:after="0" w:line="240" w:lineRule="auto"/>
      <w:ind/>
    </w:pPr>
  </w:style>
  <w:style w:styleId="Style_19_ch" w:type="character">
    <w:name w:val="header"/>
    <w:basedOn w:val="Style_4_ch"/>
    <w:link w:val="Style_19"/>
  </w:style>
  <w:style w:styleId="Style_20" w:type="paragraph">
    <w:name w:val="toc 9"/>
    <w:next w:val="Style_4"/>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toc 8"/>
    <w:next w:val="Style_4"/>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toc 5"/>
    <w:next w:val="Style_4"/>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Balloon Text"/>
    <w:basedOn w:val="Style_4"/>
    <w:link w:val="Style_23_ch"/>
    <w:pPr>
      <w:widowControl w:val="1"/>
      <w:spacing w:after="0" w:line="240" w:lineRule="auto"/>
      <w:ind/>
    </w:pPr>
    <w:rPr>
      <w:rFonts w:ascii="Segoe UI" w:hAnsi="Segoe UI"/>
      <w:sz w:val="18"/>
    </w:rPr>
  </w:style>
  <w:style w:styleId="Style_23_ch" w:type="character">
    <w:name w:val="Balloon Text"/>
    <w:basedOn w:val="Style_4_ch"/>
    <w:link w:val="Style_23"/>
    <w:rPr>
      <w:rFonts w:ascii="Segoe UI" w:hAnsi="Segoe UI"/>
      <w:sz w:val="18"/>
    </w:rPr>
  </w:style>
  <w:style w:styleId="Style_24" w:type="paragraph">
    <w:name w:val="Subtitle"/>
    <w:next w:val="Style_4"/>
    <w:link w:val="Style_24_ch"/>
    <w:uiPriority w:val="11"/>
    <w:qFormat/>
    <w:pPr>
      <w:ind/>
      <w:jc w:val="both"/>
    </w:pPr>
    <w:rPr>
      <w:rFonts w:ascii="XO Thames" w:hAnsi="XO Thames"/>
      <w:i w:val="1"/>
      <w:sz w:val="24"/>
    </w:rPr>
  </w:style>
  <w:style w:styleId="Style_24_ch" w:type="character">
    <w:name w:val="Subtitle"/>
    <w:link w:val="Style_24"/>
    <w:rPr>
      <w:rFonts w:ascii="XO Thames" w:hAnsi="XO Thames"/>
      <w:i w:val="1"/>
      <w:sz w:val="24"/>
    </w:rPr>
  </w:style>
  <w:style w:styleId="Style_1" w:type="paragraph">
    <w:name w:val="footer"/>
    <w:basedOn w:val="Style_4"/>
    <w:link w:val="Style_1_ch"/>
    <w:pPr>
      <w:widowControl w:val="1"/>
      <w:tabs>
        <w:tab w:leader="none" w:pos="4677" w:val="center"/>
        <w:tab w:leader="none" w:pos="9355" w:val="right"/>
      </w:tabs>
      <w:spacing w:after="0" w:line="240" w:lineRule="auto"/>
      <w:ind/>
    </w:pPr>
  </w:style>
  <w:style w:styleId="Style_1_ch" w:type="character">
    <w:name w:val="footer"/>
    <w:basedOn w:val="Style_4_ch"/>
    <w:link w:val="Style_1"/>
  </w:style>
  <w:style w:styleId="Style_25" w:type="paragraph">
    <w:name w:val="Title"/>
    <w:next w:val="Style_4"/>
    <w:link w:val="Style_25_ch"/>
    <w:uiPriority w:val="10"/>
    <w:qFormat/>
    <w:pPr>
      <w:spacing w:after="567" w:before="567"/>
      <w:ind/>
      <w:jc w:val="center"/>
    </w:pPr>
    <w:rPr>
      <w:rFonts w:ascii="XO Thames" w:hAnsi="XO Thames"/>
      <w:b w:val="1"/>
      <w:caps w:val="1"/>
      <w:sz w:val="40"/>
    </w:rPr>
  </w:style>
  <w:style w:styleId="Style_25_ch" w:type="character">
    <w:name w:val="Title"/>
    <w:link w:val="Style_25"/>
    <w:rPr>
      <w:rFonts w:ascii="XO Thames" w:hAnsi="XO Thames"/>
      <w:b w:val="1"/>
      <w:caps w:val="1"/>
      <w:sz w:val="40"/>
    </w:rPr>
  </w:style>
  <w:style w:styleId="Style_26" w:type="paragraph">
    <w:name w:val="heading 4"/>
    <w:next w:val="Style_4"/>
    <w:link w:val="Style_26_ch"/>
    <w:uiPriority w:val="9"/>
    <w:qFormat/>
    <w:pPr>
      <w:spacing w:after="120" w:before="120"/>
      <w:ind/>
      <w:jc w:val="both"/>
      <w:outlineLvl w:val="3"/>
    </w:pPr>
    <w:rPr>
      <w:rFonts w:ascii="XO Thames" w:hAnsi="XO Thames"/>
      <w:b w:val="1"/>
      <w:sz w:val="24"/>
    </w:rPr>
  </w:style>
  <w:style w:styleId="Style_26_ch" w:type="character">
    <w:name w:val="heading 4"/>
    <w:link w:val="Style_26"/>
    <w:rPr>
      <w:rFonts w:ascii="XO Thames" w:hAnsi="XO Thames"/>
      <w:b w:val="1"/>
      <w:sz w:val="24"/>
    </w:rPr>
  </w:style>
  <w:style w:styleId="Style_27" w:type="paragraph">
    <w:name w:val="heading 2"/>
    <w:next w:val="Style_4"/>
    <w:link w:val="Style_27_ch"/>
    <w:uiPriority w:val="9"/>
    <w:qFormat/>
    <w:pPr>
      <w:spacing w:after="120" w:before="120"/>
      <w:ind/>
      <w:jc w:val="both"/>
      <w:outlineLvl w:val="1"/>
    </w:pPr>
    <w:rPr>
      <w:rFonts w:ascii="XO Thames" w:hAnsi="XO Thames"/>
      <w:b w:val="1"/>
      <w:sz w:val="28"/>
    </w:rPr>
  </w:style>
  <w:style w:styleId="Style_27_ch" w:type="character">
    <w:name w:val="heading 2"/>
    <w:link w:val="Style_27"/>
    <w:rPr>
      <w:rFonts w:ascii="XO Thames" w:hAnsi="XO Thames"/>
      <w:b w:val="1"/>
      <w:sz w:val="28"/>
    </w:rPr>
  </w:style>
  <w:style w:styleId="Style_3" w:type="table">
    <w:name w:val="Table Grid"/>
    <w:basedOn w:val="Style_2"/>
    <w:pPr>
      <w:widowControl w:val="1"/>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footer1.xml" Type="http://schemas.openxmlformats.org/officeDocument/2006/relationships/footer"/>
  <Relationship Id="rId2" Target="media/1.png" Type="http://schemas.openxmlformats.org/officeDocument/2006/relationships/image"/>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MyOffice-CoreFramework-Linux/38-1384.1107.10199.1019.1@18975027e3ee4b688e27426d4a78178cb841a344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2026-03-25T04:23:08Z</dcterms:created>
  <dcterms:modified xsi:type="dcterms:W3CDTF">2026-03-25T04:23:08Z</dcterms:modified>
</cp:coreProperties>
</file>